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2023 m. rugsėjo 30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2023-10-12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2023-01-01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2023-09-30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200548,39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2933,16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103,00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2263,23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1360,47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1750,62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208958,87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208958,87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1710,98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1710,98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1710,98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33218,50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327,29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132,45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1008,28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17449,41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1961,20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749,86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71,57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54918,56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54918,56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265588,41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703210,35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10081,00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1399,50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7967,00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5951,86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9200,00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3.1.1.3.1.04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3.1.1.5.1.01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7000,00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745909,71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745909,71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9272,97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9272,97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9272,97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162412,83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2332,23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2269,88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4084,13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52618,52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6823,29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2609,51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233150,39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233150,39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5SBL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11000,00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11000,00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5SBL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11000,00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999333,07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